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086CD" w14:textId="68A4E4AC" w:rsidR="008172F0" w:rsidRPr="005022B5" w:rsidRDefault="008172F0" w:rsidP="00023B55">
      <w:pPr>
        <w:spacing w:after="0" w:line="240" w:lineRule="auto"/>
        <w:rPr>
          <w:rFonts w:ascii="Lato" w:hAnsi="Lato" w:cs="Arial"/>
          <w:sz w:val="20"/>
          <w:szCs w:val="20"/>
        </w:rPr>
      </w:pPr>
      <w:r w:rsidRPr="005022B5">
        <w:rPr>
          <w:rFonts w:ascii="Lato" w:hAnsi="Lato" w:cs="Arial"/>
          <w:b/>
          <w:bCs/>
          <w:sz w:val="20"/>
          <w:szCs w:val="20"/>
        </w:rPr>
        <w:t>Ward and Scott Associates Limited</w:t>
      </w:r>
      <w:r w:rsidR="004E60F9">
        <w:rPr>
          <w:rFonts w:ascii="Lato" w:hAnsi="Lato" w:cs="Arial"/>
          <w:b/>
          <w:bCs/>
          <w:sz w:val="20"/>
          <w:szCs w:val="20"/>
        </w:rPr>
        <w:t xml:space="preserve"> trading as RSR Recruitment</w:t>
      </w:r>
      <w:r w:rsidRPr="005022B5">
        <w:rPr>
          <w:rFonts w:ascii="Lato" w:hAnsi="Lato" w:cs="Arial"/>
          <w:b/>
          <w:bCs/>
          <w:sz w:val="20"/>
          <w:szCs w:val="20"/>
        </w:rPr>
        <w:t xml:space="preserve"> (“the Company”)</w:t>
      </w:r>
    </w:p>
    <w:p w14:paraId="15FD75ED" w14:textId="77777777" w:rsidR="008239FF" w:rsidRPr="005022B5" w:rsidRDefault="008239FF" w:rsidP="00023B55">
      <w:pPr>
        <w:spacing w:after="0" w:line="240" w:lineRule="auto"/>
        <w:rPr>
          <w:rFonts w:ascii="Lato" w:hAnsi="Lato" w:cs="Arial"/>
          <w:sz w:val="20"/>
          <w:szCs w:val="20"/>
        </w:rPr>
      </w:pPr>
      <w:r w:rsidRPr="005022B5">
        <w:rPr>
          <w:rFonts w:ascii="Lato" w:hAnsi="Lato" w:cs="Arial"/>
          <w:b/>
          <w:bCs/>
          <w:sz w:val="20"/>
          <w:szCs w:val="20"/>
        </w:rPr>
        <w:t>Equal Opportunities and Diversity Policy</w:t>
      </w:r>
    </w:p>
    <w:p w14:paraId="5429BA71" w14:textId="5D9F413A" w:rsidR="008239FF" w:rsidRPr="005022B5" w:rsidRDefault="00440180" w:rsidP="00023B55">
      <w:pPr>
        <w:spacing w:after="0" w:line="240" w:lineRule="auto"/>
        <w:rPr>
          <w:rFonts w:ascii="Lato" w:hAnsi="Lato" w:cs="Arial"/>
          <w:b/>
          <w:bCs/>
          <w:sz w:val="20"/>
          <w:szCs w:val="20"/>
        </w:rPr>
      </w:pPr>
      <w:r w:rsidRPr="005022B5">
        <w:rPr>
          <w:rFonts w:ascii="Lato" w:hAnsi="Lato" w:cs="Arial"/>
          <w:b/>
          <w:bCs/>
          <w:sz w:val="20"/>
          <w:szCs w:val="20"/>
        </w:rPr>
        <w:t>12</w:t>
      </w:r>
      <w:r w:rsidRPr="005022B5">
        <w:rPr>
          <w:rFonts w:ascii="Lato" w:hAnsi="Lato" w:cs="Arial"/>
          <w:b/>
          <w:bCs/>
          <w:sz w:val="20"/>
          <w:szCs w:val="20"/>
          <w:vertAlign w:val="superscript"/>
        </w:rPr>
        <w:t>th</w:t>
      </w:r>
      <w:r w:rsidRPr="005022B5">
        <w:rPr>
          <w:rFonts w:ascii="Lato" w:hAnsi="Lato" w:cs="Arial"/>
          <w:b/>
          <w:bCs/>
          <w:sz w:val="20"/>
          <w:szCs w:val="20"/>
        </w:rPr>
        <w:t xml:space="preserve"> March 2026</w:t>
      </w:r>
    </w:p>
    <w:p w14:paraId="3A34AD12" w14:textId="77777777" w:rsidR="008239FF" w:rsidRPr="005022B5" w:rsidRDefault="008239FF" w:rsidP="00023B55">
      <w:pPr>
        <w:spacing w:after="0" w:line="240" w:lineRule="auto"/>
        <w:rPr>
          <w:rFonts w:ascii="Lato" w:hAnsi="Lato" w:cs="Arial"/>
          <w:sz w:val="20"/>
          <w:szCs w:val="20"/>
        </w:rPr>
      </w:pPr>
    </w:p>
    <w:p w14:paraId="29DCEB66" w14:textId="77777777" w:rsidR="00023B55" w:rsidRPr="005022B5" w:rsidRDefault="00023B55" w:rsidP="00023B55">
      <w:pPr>
        <w:spacing w:after="0" w:line="240" w:lineRule="auto"/>
        <w:rPr>
          <w:rFonts w:ascii="Lato" w:hAnsi="Lato" w:cs="Arial"/>
          <w:sz w:val="20"/>
          <w:szCs w:val="20"/>
        </w:rPr>
      </w:pPr>
    </w:p>
    <w:p w14:paraId="5FE26228" w14:textId="77777777" w:rsidR="008239FF" w:rsidRPr="005022B5" w:rsidRDefault="008239FF" w:rsidP="00023B55">
      <w:pPr>
        <w:spacing w:after="0" w:line="240" w:lineRule="auto"/>
        <w:rPr>
          <w:rFonts w:ascii="Lato" w:hAnsi="Lato" w:cs="Arial"/>
          <w:b/>
          <w:bCs/>
          <w:sz w:val="20"/>
          <w:szCs w:val="20"/>
        </w:rPr>
      </w:pPr>
      <w:r w:rsidRPr="005022B5">
        <w:rPr>
          <w:rFonts w:ascii="Lato" w:hAnsi="Lato" w:cs="Arial"/>
          <w:b/>
          <w:bCs/>
          <w:sz w:val="20"/>
          <w:szCs w:val="20"/>
        </w:rPr>
        <w:t>OUR POLICY</w:t>
      </w:r>
    </w:p>
    <w:p w14:paraId="2169C31B" w14:textId="77777777" w:rsidR="00023B55" w:rsidRPr="005022B5" w:rsidRDefault="00023B55" w:rsidP="00023B55">
      <w:pPr>
        <w:spacing w:after="0" w:line="240" w:lineRule="auto"/>
        <w:rPr>
          <w:rFonts w:ascii="Lato" w:hAnsi="Lato" w:cs="Arial"/>
          <w:sz w:val="20"/>
          <w:szCs w:val="20"/>
        </w:rPr>
      </w:pPr>
    </w:p>
    <w:p w14:paraId="0ADC81F5"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 xml:space="preserve">Ward and Scott Associates Limited embraces diversity and aims to promote the benefits of diversity in </w:t>
      </w:r>
      <w:proofErr w:type="gramStart"/>
      <w:r w:rsidRPr="005022B5">
        <w:rPr>
          <w:rFonts w:ascii="Lato" w:hAnsi="Lato" w:cs="Arial"/>
          <w:sz w:val="20"/>
          <w:szCs w:val="20"/>
        </w:rPr>
        <w:t>all of</w:t>
      </w:r>
      <w:proofErr w:type="gramEnd"/>
      <w:r w:rsidRPr="005022B5">
        <w:rPr>
          <w:rFonts w:ascii="Lato" w:hAnsi="Lato" w:cs="Arial"/>
          <w:sz w:val="20"/>
          <w:szCs w:val="20"/>
        </w:rPr>
        <w:t xml:space="preserve"> our business activities. We seek to develop a business culture that reflects that belief. We will expand the media in which we recruit to ensure that we have a diverse employee and candidate base. We will also strive to ensure that our clients meet their own diversity targets.</w:t>
      </w:r>
    </w:p>
    <w:p w14:paraId="4C7F8D28" w14:textId="77777777" w:rsidR="00023B55" w:rsidRPr="005022B5" w:rsidRDefault="00023B55" w:rsidP="00023B55">
      <w:pPr>
        <w:spacing w:after="0" w:line="240" w:lineRule="auto"/>
        <w:rPr>
          <w:rFonts w:ascii="Lato" w:hAnsi="Lato" w:cs="Arial"/>
          <w:sz w:val="20"/>
          <w:szCs w:val="20"/>
        </w:rPr>
      </w:pPr>
    </w:p>
    <w:p w14:paraId="48725D49"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Ward and Scott Associates Limited is committed to diversity and will promote diversity for all employees, workers and applicants. We will continuously review all aspects of recruitment to avoid unlawful discrimination. Ward and Scott Associates Limited will treat everyone equally and will not discriminate on the grounds of an individual’s “protected characteristic” under the Equality Act 2010 (the Act) which are age, disability, gender reassignment, marriage and civil partnership, pregnancy and maternity, race, religion or belief, sex and sexual orientation. We will not discriminate on the grounds of an individual's membership or non-membership of a Trade Union. All staff have an obligation to respect and comply with this policy. Ward and Scott Associates Limited is committed to providing training for its entire staff in equal opportunities and diversity. Ward and Scott Associates Limited will avoid stipulating unnecessary requirements which will exclude a higher proportion of a particular group of people and will not prescribe discriminatory requirements for a role.</w:t>
      </w:r>
    </w:p>
    <w:p w14:paraId="293712B9" w14:textId="77777777" w:rsidR="00023B55" w:rsidRPr="005022B5" w:rsidRDefault="00023B55" w:rsidP="00023B55">
      <w:pPr>
        <w:spacing w:after="0" w:line="240" w:lineRule="auto"/>
        <w:rPr>
          <w:rFonts w:ascii="Lato" w:hAnsi="Lato" w:cs="Arial"/>
          <w:sz w:val="20"/>
          <w:szCs w:val="20"/>
        </w:rPr>
      </w:pPr>
    </w:p>
    <w:p w14:paraId="667185B8" w14:textId="545703BB"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Ward and Scott Associates Limited will not discriminate unlawfully when deciding which candidate/temporary worker is submitted for a vacancy or assignment, or in any terms of employment or terms of engagement for temporary workers. Ward and Scott Associates Limited will ensure that each candidate is assessed in accordance with the candidate’s merits, qualifications and ability to perform the relevant duties for the role.</w:t>
      </w:r>
    </w:p>
    <w:p w14:paraId="3C7989D2" w14:textId="77777777" w:rsidR="00023B55" w:rsidRPr="005022B5" w:rsidRDefault="00023B55" w:rsidP="00023B55">
      <w:pPr>
        <w:spacing w:after="0" w:line="240" w:lineRule="auto"/>
        <w:rPr>
          <w:rFonts w:ascii="Lato" w:hAnsi="Lato" w:cs="Arial"/>
          <w:b/>
          <w:bCs/>
          <w:sz w:val="20"/>
          <w:szCs w:val="20"/>
        </w:rPr>
      </w:pPr>
    </w:p>
    <w:p w14:paraId="2C23D9A2" w14:textId="716EA33F" w:rsidR="008239FF" w:rsidRPr="005022B5" w:rsidRDefault="008239FF" w:rsidP="00023B55">
      <w:pPr>
        <w:spacing w:after="0" w:line="240" w:lineRule="auto"/>
        <w:rPr>
          <w:rFonts w:ascii="Lato" w:hAnsi="Lato" w:cs="Arial"/>
          <w:b/>
          <w:bCs/>
          <w:sz w:val="20"/>
          <w:szCs w:val="20"/>
        </w:rPr>
      </w:pPr>
      <w:r w:rsidRPr="005022B5">
        <w:rPr>
          <w:rFonts w:ascii="Lato" w:hAnsi="Lato" w:cs="Arial"/>
          <w:b/>
          <w:bCs/>
          <w:sz w:val="20"/>
          <w:szCs w:val="20"/>
        </w:rPr>
        <w:t>DISCRIMINATION</w:t>
      </w:r>
    </w:p>
    <w:p w14:paraId="6E7EC58D" w14:textId="77777777" w:rsidR="00023B55" w:rsidRPr="005022B5" w:rsidRDefault="00023B55" w:rsidP="00023B55">
      <w:pPr>
        <w:spacing w:after="0" w:line="240" w:lineRule="auto"/>
        <w:rPr>
          <w:rFonts w:ascii="Lato" w:hAnsi="Lato" w:cs="Arial"/>
          <w:b/>
          <w:bCs/>
          <w:sz w:val="20"/>
          <w:szCs w:val="20"/>
        </w:rPr>
      </w:pPr>
    </w:p>
    <w:p w14:paraId="6C780D96" w14:textId="77777777" w:rsidR="00023B55" w:rsidRPr="005022B5" w:rsidRDefault="00023B55" w:rsidP="00023B55">
      <w:pPr>
        <w:spacing w:after="0" w:line="240" w:lineRule="auto"/>
        <w:rPr>
          <w:rFonts w:ascii="Lato" w:hAnsi="Lato" w:cs="Arial"/>
          <w:sz w:val="20"/>
          <w:szCs w:val="20"/>
        </w:rPr>
      </w:pPr>
      <w:r w:rsidRPr="005022B5">
        <w:rPr>
          <w:rFonts w:ascii="Lato" w:hAnsi="Lato" w:cs="Arial"/>
          <w:sz w:val="20"/>
          <w:szCs w:val="20"/>
        </w:rPr>
        <w:t>Under the Act unlawful discrimination occurs in the following circumstances: </w:t>
      </w:r>
    </w:p>
    <w:p w14:paraId="57973D0E" w14:textId="77777777" w:rsidR="00023B55" w:rsidRPr="005022B5" w:rsidRDefault="00023B55" w:rsidP="00023B55">
      <w:pPr>
        <w:spacing w:after="0" w:line="240" w:lineRule="auto"/>
        <w:rPr>
          <w:rFonts w:ascii="Lato" w:hAnsi="Lato" w:cs="Arial"/>
          <w:sz w:val="20"/>
          <w:szCs w:val="20"/>
        </w:rPr>
      </w:pPr>
    </w:p>
    <w:p w14:paraId="7660E401" w14:textId="77777777" w:rsidR="008239FF" w:rsidRPr="005022B5" w:rsidRDefault="008239FF" w:rsidP="00023B55">
      <w:pPr>
        <w:spacing w:after="0" w:line="240" w:lineRule="auto"/>
        <w:rPr>
          <w:rFonts w:ascii="Lato" w:hAnsi="Lato" w:cs="Arial"/>
          <w:b/>
          <w:bCs/>
          <w:sz w:val="20"/>
          <w:szCs w:val="20"/>
        </w:rPr>
      </w:pPr>
      <w:r w:rsidRPr="005022B5">
        <w:rPr>
          <w:rFonts w:ascii="Lato" w:hAnsi="Lato" w:cs="Arial"/>
          <w:b/>
          <w:bCs/>
          <w:sz w:val="20"/>
          <w:szCs w:val="20"/>
        </w:rPr>
        <w:t>Direct discrimination</w:t>
      </w:r>
    </w:p>
    <w:p w14:paraId="68D7B1BE" w14:textId="77777777" w:rsidR="00023B55" w:rsidRPr="005022B5" w:rsidRDefault="00023B55" w:rsidP="00023B55">
      <w:pPr>
        <w:spacing w:after="0" w:line="240" w:lineRule="auto"/>
        <w:rPr>
          <w:rFonts w:ascii="Lato" w:hAnsi="Lato" w:cs="Arial"/>
          <w:sz w:val="20"/>
          <w:szCs w:val="20"/>
        </w:rPr>
      </w:pPr>
    </w:p>
    <w:p w14:paraId="7E17F77D"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Direct discrimination occurs when an individual is treated less favourably because of a protected characteristic. Treating someone less favourably means treating them badly in comparison to others that do not have that protected characteristic.</w:t>
      </w:r>
    </w:p>
    <w:p w14:paraId="787E83CC"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It is unlawful for a recruitment consultancy to discriminate against a person on the grounds of a protected characteristic:</w:t>
      </w:r>
    </w:p>
    <w:p w14:paraId="28932006" w14:textId="77777777" w:rsidR="008239FF" w:rsidRPr="005022B5" w:rsidRDefault="008239FF" w:rsidP="00023B55">
      <w:pPr>
        <w:numPr>
          <w:ilvl w:val="0"/>
          <w:numId w:val="1"/>
        </w:numPr>
        <w:spacing w:after="0" w:line="240" w:lineRule="auto"/>
        <w:rPr>
          <w:rFonts w:ascii="Lato" w:hAnsi="Lato" w:cs="Arial"/>
          <w:sz w:val="20"/>
          <w:szCs w:val="20"/>
        </w:rPr>
      </w:pPr>
      <w:r w:rsidRPr="005022B5">
        <w:rPr>
          <w:rFonts w:ascii="Lato" w:hAnsi="Lato" w:cs="Arial"/>
          <w:sz w:val="20"/>
          <w:szCs w:val="20"/>
        </w:rPr>
        <w:t>in the terms on which the recruitment consultancy offers to provide any of its services;</w:t>
      </w:r>
    </w:p>
    <w:p w14:paraId="2F4043D9" w14:textId="77777777" w:rsidR="008239FF" w:rsidRPr="005022B5" w:rsidRDefault="008239FF" w:rsidP="00023B55">
      <w:pPr>
        <w:numPr>
          <w:ilvl w:val="0"/>
          <w:numId w:val="1"/>
        </w:numPr>
        <w:spacing w:after="0" w:line="240" w:lineRule="auto"/>
        <w:rPr>
          <w:rFonts w:ascii="Lato" w:hAnsi="Lato" w:cs="Arial"/>
          <w:sz w:val="20"/>
          <w:szCs w:val="20"/>
        </w:rPr>
      </w:pPr>
      <w:r w:rsidRPr="005022B5">
        <w:rPr>
          <w:rFonts w:ascii="Lato" w:hAnsi="Lato" w:cs="Arial"/>
          <w:sz w:val="20"/>
          <w:szCs w:val="20"/>
        </w:rPr>
        <w:t>by refusing or deliberately omitting to provide any of its services;</w:t>
      </w:r>
    </w:p>
    <w:p w14:paraId="4F77A21D" w14:textId="77777777" w:rsidR="008239FF" w:rsidRPr="005022B5" w:rsidRDefault="008239FF" w:rsidP="00023B55">
      <w:pPr>
        <w:numPr>
          <w:ilvl w:val="0"/>
          <w:numId w:val="1"/>
        </w:numPr>
        <w:spacing w:after="0" w:line="240" w:lineRule="auto"/>
        <w:rPr>
          <w:rFonts w:ascii="Lato" w:hAnsi="Lato" w:cs="Arial"/>
          <w:sz w:val="20"/>
          <w:szCs w:val="20"/>
        </w:rPr>
      </w:pPr>
      <w:r w:rsidRPr="005022B5">
        <w:rPr>
          <w:rFonts w:ascii="Lato" w:hAnsi="Lato" w:cs="Arial"/>
          <w:sz w:val="20"/>
          <w:szCs w:val="20"/>
        </w:rPr>
        <w:t>in the way it provides any of its services.</w:t>
      </w:r>
    </w:p>
    <w:p w14:paraId="3B931AE9"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Direct discrimination can take place even if the individual does not have the protected characteristic but is treated less favourably because it is assumed he or she has the protected characteristic or is associated with someone that has the protected characteristic.</w:t>
      </w:r>
    </w:p>
    <w:p w14:paraId="157C3776"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 xml:space="preserve">Direct discrimination would also occur if a recruitment consultancy accepted and acted upon instructions from an employer which states that certain persons are unacceptable due to a protected characteristic, unless an exception applies. The Act contains provisions that permit specifying a requirement that an individual must have a particular protected characteristic </w:t>
      </w:r>
      <w:proofErr w:type="gramStart"/>
      <w:r w:rsidRPr="005022B5">
        <w:rPr>
          <w:rFonts w:ascii="Lato" w:hAnsi="Lato" w:cs="Arial"/>
          <w:sz w:val="20"/>
          <w:szCs w:val="20"/>
        </w:rPr>
        <w:t>in order to</w:t>
      </w:r>
      <w:proofErr w:type="gramEnd"/>
      <w:r w:rsidRPr="005022B5">
        <w:rPr>
          <w:rFonts w:ascii="Lato" w:hAnsi="Lato" w:cs="Arial"/>
          <w:sz w:val="20"/>
          <w:szCs w:val="20"/>
        </w:rPr>
        <w:t xml:space="preserve"> undertake a job. These provisions are referred to as occupational requirements.</w:t>
      </w:r>
    </w:p>
    <w:p w14:paraId="59686309"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Where there is an occupational requirement then the client must show that applying the requirement is a proportionate means of achieving a legitimate aim, i.e. the employer must be able to objectively justify applying the requirement. An occupational requirement does not allow an employer to employ someone on less favourable terms or to subject a person to any other detriment. Neither does an occupational requirement provide an excuse against harassment or victimisation of someone who does not have the occupational requirement.</w:t>
      </w:r>
    </w:p>
    <w:p w14:paraId="3F151164" w14:textId="77777777" w:rsidR="00023B55" w:rsidRPr="005022B5" w:rsidRDefault="00023B55" w:rsidP="00023B55">
      <w:pPr>
        <w:spacing w:after="0" w:line="240" w:lineRule="auto"/>
        <w:rPr>
          <w:rFonts w:ascii="Lato" w:hAnsi="Lato" w:cs="Arial"/>
          <w:sz w:val="20"/>
          <w:szCs w:val="20"/>
        </w:rPr>
      </w:pPr>
    </w:p>
    <w:p w14:paraId="14AC40D1" w14:textId="77777777" w:rsidR="008239FF" w:rsidRPr="005022B5" w:rsidRDefault="008239FF" w:rsidP="00023B55">
      <w:pPr>
        <w:spacing w:after="0" w:line="240" w:lineRule="auto"/>
        <w:rPr>
          <w:rFonts w:ascii="Lato" w:hAnsi="Lato" w:cs="Arial"/>
          <w:b/>
          <w:bCs/>
          <w:sz w:val="20"/>
          <w:szCs w:val="20"/>
        </w:rPr>
      </w:pPr>
      <w:r w:rsidRPr="005022B5">
        <w:rPr>
          <w:rFonts w:ascii="Lato" w:hAnsi="Lato" w:cs="Arial"/>
          <w:b/>
          <w:bCs/>
          <w:sz w:val="20"/>
          <w:szCs w:val="20"/>
        </w:rPr>
        <w:t>Indirect discrimination</w:t>
      </w:r>
    </w:p>
    <w:p w14:paraId="5750D9B8" w14:textId="77777777" w:rsidR="00023B55" w:rsidRPr="005022B5" w:rsidRDefault="00023B55" w:rsidP="00023B55">
      <w:pPr>
        <w:spacing w:after="0" w:line="240" w:lineRule="auto"/>
        <w:rPr>
          <w:rFonts w:ascii="Lato" w:hAnsi="Lato" w:cs="Arial"/>
          <w:sz w:val="20"/>
          <w:szCs w:val="20"/>
        </w:rPr>
      </w:pPr>
    </w:p>
    <w:p w14:paraId="2F3F3EA9"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 xml:space="preserve">Indirect discrimination occurs when a provision, criterion or practice (PCP) is applied but this results in people who share a protected characteristic being placed at a disadvantage in comparison to those who do not have the protected characteristic. If the PCP can be objectively </w:t>
      </w:r>
      <w:proofErr w:type="gramStart"/>
      <w:r w:rsidRPr="005022B5">
        <w:rPr>
          <w:rFonts w:ascii="Lato" w:hAnsi="Lato" w:cs="Arial"/>
          <w:sz w:val="20"/>
          <w:szCs w:val="20"/>
        </w:rPr>
        <w:t>justified</w:t>
      </w:r>
      <w:proofErr w:type="gramEnd"/>
      <w:r w:rsidRPr="005022B5">
        <w:rPr>
          <w:rFonts w:ascii="Lato" w:hAnsi="Lato" w:cs="Arial"/>
          <w:sz w:val="20"/>
          <w:szCs w:val="20"/>
        </w:rPr>
        <w:t xml:space="preserve"> it will not amount to discrimination.</w:t>
      </w:r>
    </w:p>
    <w:p w14:paraId="28539DBB"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Indirect discrimination would also occur if a recruitment consultant accepted and acted upon an indirectly discriminatory instruction from an employer.</w:t>
      </w:r>
    </w:p>
    <w:p w14:paraId="2AD6DB96"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 xml:space="preserve">If the vacancy requires characteristics which amount to an occupational requirement or the instruction is discriminatory but there </w:t>
      </w:r>
      <w:proofErr w:type="gramStart"/>
      <w:r w:rsidRPr="005022B5">
        <w:rPr>
          <w:rFonts w:ascii="Lato" w:hAnsi="Lato" w:cs="Arial"/>
          <w:sz w:val="20"/>
          <w:szCs w:val="20"/>
        </w:rPr>
        <w:t>is</w:t>
      </w:r>
      <w:proofErr w:type="gramEnd"/>
      <w:r w:rsidRPr="005022B5">
        <w:rPr>
          <w:rFonts w:ascii="Lato" w:hAnsi="Lato" w:cs="Arial"/>
          <w:sz w:val="20"/>
          <w:szCs w:val="20"/>
        </w:rPr>
        <w:t xml:space="preserve"> an objective justification, Ward and Scott Associates Limited will not proceed with the vacancy unless the client provides written confirmation of the occupational requirement, exception or justification.</w:t>
      </w:r>
    </w:p>
    <w:p w14:paraId="0FB2DC5E"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Ward and Scott Associates Limited will use best endeavours to comply with the Act and will not accept instructions from clients that will result in unlawful discrimination.</w:t>
      </w:r>
    </w:p>
    <w:p w14:paraId="1F14C22C" w14:textId="77777777" w:rsidR="00023B55" w:rsidRPr="005022B5" w:rsidRDefault="00023B55" w:rsidP="00023B55">
      <w:pPr>
        <w:spacing w:after="0" w:line="240" w:lineRule="auto"/>
        <w:rPr>
          <w:rFonts w:ascii="Lato" w:hAnsi="Lato" w:cs="Arial"/>
          <w:sz w:val="20"/>
          <w:szCs w:val="20"/>
        </w:rPr>
      </w:pPr>
    </w:p>
    <w:p w14:paraId="5BBCB194" w14:textId="77777777" w:rsidR="008239FF" w:rsidRPr="005022B5" w:rsidRDefault="008239FF" w:rsidP="00023B55">
      <w:pPr>
        <w:spacing w:after="0" w:line="240" w:lineRule="auto"/>
        <w:rPr>
          <w:rFonts w:ascii="Lato" w:hAnsi="Lato" w:cs="Arial"/>
          <w:b/>
          <w:bCs/>
          <w:sz w:val="20"/>
          <w:szCs w:val="20"/>
        </w:rPr>
      </w:pPr>
      <w:r w:rsidRPr="005022B5">
        <w:rPr>
          <w:rFonts w:ascii="Lato" w:hAnsi="Lato" w:cs="Arial"/>
          <w:b/>
          <w:bCs/>
          <w:sz w:val="20"/>
          <w:szCs w:val="20"/>
        </w:rPr>
        <w:t>Harassment</w:t>
      </w:r>
    </w:p>
    <w:p w14:paraId="466FF58C" w14:textId="77777777" w:rsidR="00023B55" w:rsidRPr="005022B5" w:rsidRDefault="00023B55" w:rsidP="00023B55">
      <w:pPr>
        <w:spacing w:after="0" w:line="240" w:lineRule="auto"/>
        <w:rPr>
          <w:rFonts w:ascii="Lato" w:hAnsi="Lato" w:cs="Arial"/>
          <w:sz w:val="20"/>
          <w:szCs w:val="20"/>
        </w:rPr>
      </w:pPr>
    </w:p>
    <w:p w14:paraId="70F553C7"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Under the Act, harassment is defined as unwanted conduct that relates to a protected characteristic which has the purpose or effect of violating an individual’s dignity or creating an intimidating, hostile, degrading, humiliating or offensive environment for that individual. This includes unwanted conduct of a sexual nature.</w:t>
      </w:r>
    </w:p>
    <w:p w14:paraId="0E9BF168"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Ward and Scott Associates Limited is committed to providing a work environment free from unlawful harassment.</w:t>
      </w:r>
    </w:p>
    <w:p w14:paraId="0F88DCDB"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Ward and Scott Associates Limited will ensure that the consultants do not harass any individual.</w:t>
      </w:r>
    </w:p>
    <w:p w14:paraId="108D6845"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Examples of prohibited harassment include:</w:t>
      </w:r>
    </w:p>
    <w:p w14:paraId="1BE5E713" w14:textId="77777777" w:rsidR="008239FF" w:rsidRPr="005022B5" w:rsidRDefault="008239FF" w:rsidP="00023B55">
      <w:pPr>
        <w:numPr>
          <w:ilvl w:val="0"/>
          <w:numId w:val="2"/>
        </w:numPr>
        <w:spacing w:after="0" w:line="240" w:lineRule="auto"/>
        <w:rPr>
          <w:rFonts w:ascii="Lato" w:hAnsi="Lato" w:cs="Arial"/>
          <w:sz w:val="20"/>
          <w:szCs w:val="20"/>
        </w:rPr>
      </w:pPr>
      <w:r w:rsidRPr="005022B5">
        <w:rPr>
          <w:rFonts w:ascii="Lato" w:hAnsi="Lato" w:cs="Arial"/>
          <w:sz w:val="20"/>
          <w:szCs w:val="20"/>
        </w:rPr>
        <w:t>verbal or written conduct containing derogatory jokes or comments;</w:t>
      </w:r>
    </w:p>
    <w:p w14:paraId="5DDE8CBB" w14:textId="77777777" w:rsidR="008239FF" w:rsidRPr="005022B5" w:rsidRDefault="008239FF" w:rsidP="00023B55">
      <w:pPr>
        <w:numPr>
          <w:ilvl w:val="0"/>
          <w:numId w:val="2"/>
        </w:numPr>
        <w:spacing w:after="0" w:line="240" w:lineRule="auto"/>
        <w:rPr>
          <w:rFonts w:ascii="Lato" w:hAnsi="Lato" w:cs="Arial"/>
          <w:sz w:val="20"/>
          <w:szCs w:val="20"/>
        </w:rPr>
      </w:pPr>
      <w:r w:rsidRPr="005022B5">
        <w:rPr>
          <w:rFonts w:ascii="Lato" w:hAnsi="Lato" w:cs="Arial"/>
          <w:sz w:val="20"/>
          <w:szCs w:val="20"/>
        </w:rPr>
        <w:t>slurs or unwanted sexual advances;</w:t>
      </w:r>
    </w:p>
    <w:p w14:paraId="3DC9D10D" w14:textId="77777777" w:rsidR="008239FF" w:rsidRPr="005022B5" w:rsidRDefault="008239FF" w:rsidP="00023B55">
      <w:pPr>
        <w:numPr>
          <w:ilvl w:val="0"/>
          <w:numId w:val="2"/>
        </w:numPr>
        <w:spacing w:after="0" w:line="240" w:lineRule="auto"/>
        <w:rPr>
          <w:rFonts w:ascii="Lato" w:hAnsi="Lato" w:cs="Arial"/>
          <w:sz w:val="20"/>
          <w:szCs w:val="20"/>
        </w:rPr>
      </w:pPr>
      <w:r w:rsidRPr="005022B5">
        <w:rPr>
          <w:rFonts w:ascii="Lato" w:hAnsi="Lato" w:cs="Arial"/>
          <w:sz w:val="20"/>
          <w:szCs w:val="20"/>
        </w:rPr>
        <w:t>visual conduct such as derogatory or sexually orientated posters;</w:t>
      </w:r>
    </w:p>
    <w:p w14:paraId="0265C7E1" w14:textId="77777777" w:rsidR="008239FF" w:rsidRPr="005022B5" w:rsidRDefault="008239FF" w:rsidP="00023B55">
      <w:pPr>
        <w:numPr>
          <w:ilvl w:val="0"/>
          <w:numId w:val="2"/>
        </w:numPr>
        <w:spacing w:after="0" w:line="240" w:lineRule="auto"/>
        <w:rPr>
          <w:rFonts w:ascii="Lato" w:hAnsi="Lato" w:cs="Arial"/>
          <w:sz w:val="20"/>
          <w:szCs w:val="20"/>
        </w:rPr>
      </w:pPr>
      <w:r w:rsidRPr="005022B5">
        <w:rPr>
          <w:rFonts w:ascii="Lato" w:hAnsi="Lato" w:cs="Arial"/>
          <w:sz w:val="20"/>
          <w:szCs w:val="20"/>
        </w:rPr>
        <w:t>photographs, cartoons, drawings or gestures which some may find offensive;</w:t>
      </w:r>
    </w:p>
    <w:p w14:paraId="15B1A249" w14:textId="77777777" w:rsidR="008239FF" w:rsidRPr="005022B5" w:rsidRDefault="008239FF" w:rsidP="00023B55">
      <w:pPr>
        <w:numPr>
          <w:ilvl w:val="0"/>
          <w:numId w:val="2"/>
        </w:numPr>
        <w:spacing w:after="0" w:line="240" w:lineRule="auto"/>
        <w:rPr>
          <w:rFonts w:ascii="Lato" w:hAnsi="Lato" w:cs="Arial"/>
          <w:sz w:val="20"/>
          <w:szCs w:val="20"/>
        </w:rPr>
      </w:pPr>
      <w:r w:rsidRPr="005022B5">
        <w:rPr>
          <w:rFonts w:ascii="Lato" w:hAnsi="Lato" w:cs="Arial"/>
          <w:sz w:val="20"/>
          <w:szCs w:val="20"/>
        </w:rPr>
        <w:t>physical conduct such as assault, unwanted touching, or any interference because of sex, race or any other protected characteristic;</w:t>
      </w:r>
    </w:p>
    <w:p w14:paraId="5AAB900E" w14:textId="77777777" w:rsidR="008239FF" w:rsidRPr="005022B5" w:rsidRDefault="008239FF" w:rsidP="00023B55">
      <w:pPr>
        <w:numPr>
          <w:ilvl w:val="0"/>
          <w:numId w:val="2"/>
        </w:numPr>
        <w:spacing w:after="0" w:line="240" w:lineRule="auto"/>
        <w:rPr>
          <w:rFonts w:ascii="Lato" w:hAnsi="Lato" w:cs="Arial"/>
          <w:sz w:val="20"/>
          <w:szCs w:val="20"/>
        </w:rPr>
      </w:pPr>
      <w:r w:rsidRPr="005022B5">
        <w:rPr>
          <w:rFonts w:ascii="Lato" w:hAnsi="Lato" w:cs="Arial"/>
          <w:sz w:val="20"/>
          <w:szCs w:val="20"/>
        </w:rPr>
        <w:t>threats and demands to submit to sexual requests as a condition of continued employment or to avoid some other loss, and offers of employment benefits in return for sexual favours;</w:t>
      </w:r>
    </w:p>
    <w:p w14:paraId="02C24926" w14:textId="77777777" w:rsidR="008239FF" w:rsidRPr="005022B5" w:rsidRDefault="008239FF" w:rsidP="00023B55">
      <w:pPr>
        <w:numPr>
          <w:ilvl w:val="0"/>
          <w:numId w:val="2"/>
        </w:numPr>
        <w:spacing w:after="0" w:line="240" w:lineRule="auto"/>
        <w:rPr>
          <w:rFonts w:ascii="Lato" w:hAnsi="Lato" w:cs="Arial"/>
          <w:sz w:val="20"/>
          <w:szCs w:val="20"/>
        </w:rPr>
      </w:pPr>
      <w:r w:rsidRPr="005022B5">
        <w:rPr>
          <w:rFonts w:ascii="Lato" w:hAnsi="Lato" w:cs="Arial"/>
          <w:sz w:val="20"/>
          <w:szCs w:val="20"/>
        </w:rPr>
        <w:t>retaliation for having reported or threatened to report harassment.</w:t>
      </w:r>
    </w:p>
    <w:p w14:paraId="727CE508" w14:textId="54C17F7F"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If an individual believes that they have been unlawfully harassed, they should make an immediate report to Tia Robinson followed by a written complaint as soon as possible after the incident. The details of the complaint should include:</w:t>
      </w:r>
    </w:p>
    <w:p w14:paraId="3C6B66E2" w14:textId="77777777" w:rsidR="008239FF" w:rsidRPr="005022B5" w:rsidRDefault="008239FF" w:rsidP="00023B55">
      <w:pPr>
        <w:numPr>
          <w:ilvl w:val="0"/>
          <w:numId w:val="3"/>
        </w:numPr>
        <w:spacing w:after="0" w:line="240" w:lineRule="auto"/>
        <w:rPr>
          <w:rFonts w:ascii="Lato" w:hAnsi="Lato" w:cs="Arial"/>
          <w:sz w:val="20"/>
          <w:szCs w:val="20"/>
        </w:rPr>
      </w:pPr>
      <w:r w:rsidRPr="005022B5">
        <w:rPr>
          <w:rFonts w:ascii="Lato" w:hAnsi="Lato" w:cs="Arial"/>
          <w:sz w:val="20"/>
          <w:szCs w:val="20"/>
        </w:rPr>
        <w:t>Details of the incident</w:t>
      </w:r>
    </w:p>
    <w:p w14:paraId="7F56CA22" w14:textId="77777777" w:rsidR="008239FF" w:rsidRPr="005022B5" w:rsidRDefault="008239FF" w:rsidP="00023B55">
      <w:pPr>
        <w:numPr>
          <w:ilvl w:val="0"/>
          <w:numId w:val="3"/>
        </w:numPr>
        <w:spacing w:after="0" w:line="240" w:lineRule="auto"/>
        <w:rPr>
          <w:rFonts w:ascii="Lato" w:hAnsi="Lato" w:cs="Arial"/>
          <w:sz w:val="20"/>
          <w:szCs w:val="20"/>
        </w:rPr>
      </w:pPr>
      <w:r w:rsidRPr="005022B5">
        <w:rPr>
          <w:rFonts w:ascii="Lato" w:hAnsi="Lato" w:cs="Arial"/>
          <w:sz w:val="20"/>
          <w:szCs w:val="20"/>
        </w:rPr>
        <w:t>Name(s) of the individual(s) involved</w:t>
      </w:r>
    </w:p>
    <w:p w14:paraId="3F9578FB" w14:textId="77777777" w:rsidR="008239FF" w:rsidRPr="005022B5" w:rsidRDefault="008239FF" w:rsidP="00023B55">
      <w:pPr>
        <w:numPr>
          <w:ilvl w:val="0"/>
          <w:numId w:val="3"/>
        </w:numPr>
        <w:spacing w:after="0" w:line="240" w:lineRule="auto"/>
        <w:rPr>
          <w:rFonts w:ascii="Lato" w:hAnsi="Lato" w:cs="Arial"/>
          <w:sz w:val="20"/>
          <w:szCs w:val="20"/>
        </w:rPr>
      </w:pPr>
      <w:r w:rsidRPr="005022B5">
        <w:rPr>
          <w:rFonts w:ascii="Lato" w:hAnsi="Lato" w:cs="Arial"/>
          <w:sz w:val="20"/>
          <w:szCs w:val="20"/>
        </w:rPr>
        <w:t>Name(s) of any witness(es)</w:t>
      </w:r>
    </w:p>
    <w:p w14:paraId="644F0E1F"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Ward and Scott Associates Limited will undertake a thorough investigation of the allegations. If it is concluded that harassment has occurred, remedial action will be taken.</w:t>
      </w:r>
    </w:p>
    <w:p w14:paraId="47DDAC67"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All employees and workers will be expected to comply with Ward and Scott Associates Limited’s policy on harassment in the workplace. Any breach of such a policy will lead to the appropriate disciplinary action.</w:t>
      </w:r>
    </w:p>
    <w:p w14:paraId="1E2BCFE6" w14:textId="5BEA9950"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 xml:space="preserve">Any individual who Ward and Scott Associates Limited </w:t>
      </w:r>
      <w:proofErr w:type="gramStart"/>
      <w:r w:rsidRPr="005022B5">
        <w:rPr>
          <w:rFonts w:ascii="Lato" w:hAnsi="Lato" w:cs="Arial"/>
          <w:sz w:val="20"/>
          <w:szCs w:val="20"/>
        </w:rPr>
        <w:t>finds</w:t>
      </w:r>
      <w:proofErr w:type="gramEnd"/>
      <w:r w:rsidRPr="005022B5">
        <w:rPr>
          <w:rFonts w:ascii="Lato" w:hAnsi="Lato" w:cs="Arial"/>
          <w:sz w:val="20"/>
          <w:szCs w:val="20"/>
        </w:rPr>
        <w:t xml:space="preserve"> to be responsible for harassment will be subject to the disciplinary procedure and the sanction may include termination. </w:t>
      </w:r>
    </w:p>
    <w:p w14:paraId="3E89707D" w14:textId="77777777" w:rsidR="00023B55" w:rsidRPr="005022B5" w:rsidRDefault="00023B55" w:rsidP="00023B55">
      <w:pPr>
        <w:spacing w:after="0" w:line="240" w:lineRule="auto"/>
        <w:rPr>
          <w:rFonts w:ascii="Lato" w:hAnsi="Lato" w:cs="Arial"/>
          <w:sz w:val="20"/>
          <w:szCs w:val="20"/>
        </w:rPr>
      </w:pPr>
    </w:p>
    <w:p w14:paraId="11D3744A" w14:textId="77777777" w:rsidR="008239FF" w:rsidRPr="005022B5" w:rsidRDefault="008239FF" w:rsidP="00023B55">
      <w:pPr>
        <w:spacing w:after="0" w:line="240" w:lineRule="auto"/>
        <w:rPr>
          <w:rFonts w:ascii="Lato" w:hAnsi="Lato" w:cs="Arial"/>
          <w:b/>
          <w:bCs/>
          <w:sz w:val="20"/>
          <w:szCs w:val="20"/>
        </w:rPr>
      </w:pPr>
      <w:r w:rsidRPr="005022B5">
        <w:rPr>
          <w:rFonts w:ascii="Lato" w:hAnsi="Lato" w:cs="Arial"/>
          <w:b/>
          <w:bCs/>
          <w:sz w:val="20"/>
          <w:szCs w:val="20"/>
        </w:rPr>
        <w:t>Victimisation</w:t>
      </w:r>
    </w:p>
    <w:p w14:paraId="4968A15A" w14:textId="77777777" w:rsidR="00023B55" w:rsidRPr="005022B5" w:rsidRDefault="00023B55" w:rsidP="00023B55">
      <w:pPr>
        <w:spacing w:after="0" w:line="240" w:lineRule="auto"/>
        <w:rPr>
          <w:rFonts w:ascii="Lato" w:hAnsi="Lato" w:cs="Arial"/>
          <w:sz w:val="20"/>
          <w:szCs w:val="20"/>
        </w:rPr>
      </w:pPr>
    </w:p>
    <w:p w14:paraId="7820E42A"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Under the Act victimisation occurs when an individual is treated unfavourably because he/she has done a ‘protected act’ which is bringing a claim for unlawful discrimination or raising a grievance about discrimination or giving evidence in respect of a complaint about discrimination.</w:t>
      </w:r>
    </w:p>
    <w:p w14:paraId="20DE22AF"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Ward and Scott Associates Limited will ensure that the consultants do not victimise any individual.</w:t>
      </w:r>
    </w:p>
    <w:p w14:paraId="5B0D1C60" w14:textId="77777777" w:rsidR="00023B55" w:rsidRPr="005022B5" w:rsidRDefault="00023B55" w:rsidP="00023B55">
      <w:pPr>
        <w:spacing w:after="0" w:line="240" w:lineRule="auto"/>
        <w:rPr>
          <w:rFonts w:ascii="Lato" w:hAnsi="Lato" w:cs="Arial"/>
          <w:sz w:val="20"/>
          <w:szCs w:val="20"/>
        </w:rPr>
      </w:pPr>
    </w:p>
    <w:p w14:paraId="04E55E22" w14:textId="77777777" w:rsidR="008239FF" w:rsidRPr="005022B5" w:rsidRDefault="008239FF" w:rsidP="00023B55">
      <w:pPr>
        <w:spacing w:after="0" w:line="240" w:lineRule="auto"/>
        <w:rPr>
          <w:rFonts w:ascii="Lato" w:hAnsi="Lato" w:cs="Arial"/>
          <w:b/>
          <w:bCs/>
          <w:sz w:val="20"/>
          <w:szCs w:val="20"/>
        </w:rPr>
      </w:pPr>
      <w:r w:rsidRPr="005022B5">
        <w:rPr>
          <w:rFonts w:ascii="Lato" w:hAnsi="Lato" w:cs="Arial"/>
          <w:b/>
          <w:bCs/>
          <w:sz w:val="20"/>
          <w:szCs w:val="20"/>
        </w:rPr>
        <w:t>DISABLED PERSONS</w:t>
      </w:r>
    </w:p>
    <w:p w14:paraId="0F05B97B" w14:textId="77777777" w:rsidR="00023B55" w:rsidRPr="005022B5" w:rsidRDefault="00023B55" w:rsidP="00023B55">
      <w:pPr>
        <w:spacing w:after="0" w:line="240" w:lineRule="auto"/>
        <w:rPr>
          <w:rFonts w:ascii="Lato" w:hAnsi="Lato" w:cs="Arial"/>
          <w:sz w:val="20"/>
          <w:szCs w:val="20"/>
        </w:rPr>
      </w:pPr>
    </w:p>
    <w:p w14:paraId="6E58E78F"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lastRenderedPageBreak/>
        <w:t xml:space="preserve">Discrimination occurs when a person is treated unfavourably </w:t>
      </w:r>
      <w:proofErr w:type="gramStart"/>
      <w:r w:rsidRPr="005022B5">
        <w:rPr>
          <w:rFonts w:ascii="Lato" w:hAnsi="Lato" w:cs="Arial"/>
          <w:sz w:val="20"/>
          <w:szCs w:val="20"/>
        </w:rPr>
        <w:t>as a result of</w:t>
      </w:r>
      <w:proofErr w:type="gramEnd"/>
      <w:r w:rsidRPr="005022B5">
        <w:rPr>
          <w:rFonts w:ascii="Lato" w:hAnsi="Lato" w:cs="Arial"/>
          <w:sz w:val="20"/>
          <w:szCs w:val="20"/>
        </w:rPr>
        <w:t xml:space="preserve"> their disability.</w:t>
      </w:r>
    </w:p>
    <w:p w14:paraId="63B85567"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Indirect discrimination occurs where a provision, criterion or practice is applied by or on behalf of an employer, or any physical feature of the employer’s premises, places a disabled person at a substantial disadvantage in comparison with persons who are not disabled.</w:t>
      </w:r>
    </w:p>
    <w:p w14:paraId="31B14562"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In recruitment and selection there may be a requirement to make reasonable adjustments. Examples include:</w:t>
      </w:r>
    </w:p>
    <w:p w14:paraId="78BF88D4" w14:textId="77777777" w:rsidR="008239FF" w:rsidRPr="005022B5" w:rsidRDefault="008239FF" w:rsidP="00023B55">
      <w:pPr>
        <w:numPr>
          <w:ilvl w:val="0"/>
          <w:numId w:val="4"/>
        </w:numPr>
        <w:spacing w:after="0" w:line="240" w:lineRule="auto"/>
        <w:rPr>
          <w:rFonts w:ascii="Lato" w:hAnsi="Lato" w:cs="Arial"/>
          <w:sz w:val="20"/>
          <w:szCs w:val="20"/>
        </w:rPr>
      </w:pPr>
      <w:r w:rsidRPr="005022B5">
        <w:rPr>
          <w:rFonts w:ascii="Lato" w:hAnsi="Lato" w:cs="Arial"/>
          <w:sz w:val="20"/>
          <w:szCs w:val="20"/>
        </w:rPr>
        <w:t>modifying testing and assessment procedures;</w:t>
      </w:r>
    </w:p>
    <w:p w14:paraId="66F1311D" w14:textId="77777777" w:rsidR="008239FF" w:rsidRPr="005022B5" w:rsidRDefault="008239FF" w:rsidP="00023B55">
      <w:pPr>
        <w:numPr>
          <w:ilvl w:val="0"/>
          <w:numId w:val="4"/>
        </w:numPr>
        <w:spacing w:after="0" w:line="240" w:lineRule="auto"/>
        <w:rPr>
          <w:rFonts w:ascii="Lato" w:hAnsi="Lato" w:cs="Arial"/>
          <w:sz w:val="20"/>
          <w:szCs w:val="20"/>
        </w:rPr>
      </w:pPr>
      <w:r w:rsidRPr="005022B5">
        <w:rPr>
          <w:rFonts w:ascii="Lato" w:hAnsi="Lato" w:cs="Arial"/>
          <w:sz w:val="20"/>
          <w:szCs w:val="20"/>
        </w:rPr>
        <w:t>meeting the candidate at alternative premises which are more easily accessible;</w:t>
      </w:r>
    </w:p>
    <w:p w14:paraId="4DF6085D" w14:textId="77777777" w:rsidR="008239FF" w:rsidRPr="005022B5" w:rsidRDefault="008239FF" w:rsidP="00023B55">
      <w:pPr>
        <w:numPr>
          <w:ilvl w:val="0"/>
          <w:numId w:val="4"/>
        </w:numPr>
        <w:spacing w:after="0" w:line="240" w:lineRule="auto"/>
        <w:rPr>
          <w:rFonts w:ascii="Lato" w:hAnsi="Lato" w:cs="Arial"/>
          <w:sz w:val="20"/>
          <w:szCs w:val="20"/>
        </w:rPr>
      </w:pPr>
      <w:r w:rsidRPr="005022B5">
        <w:rPr>
          <w:rFonts w:ascii="Lato" w:hAnsi="Lato" w:cs="Arial"/>
          <w:sz w:val="20"/>
          <w:szCs w:val="20"/>
        </w:rPr>
        <w:t>having flexibility in the timing of interviews;</w:t>
      </w:r>
    </w:p>
    <w:p w14:paraId="72ABC806" w14:textId="77777777" w:rsidR="008239FF" w:rsidRPr="005022B5" w:rsidRDefault="008239FF" w:rsidP="00023B55">
      <w:pPr>
        <w:numPr>
          <w:ilvl w:val="0"/>
          <w:numId w:val="4"/>
        </w:numPr>
        <w:spacing w:after="0" w:line="240" w:lineRule="auto"/>
        <w:rPr>
          <w:rFonts w:ascii="Lato" w:hAnsi="Lato" w:cs="Arial"/>
          <w:sz w:val="20"/>
          <w:szCs w:val="20"/>
        </w:rPr>
      </w:pPr>
      <w:r w:rsidRPr="005022B5">
        <w:rPr>
          <w:rFonts w:ascii="Lato" w:hAnsi="Lato" w:cs="Arial"/>
          <w:sz w:val="20"/>
          <w:szCs w:val="20"/>
        </w:rPr>
        <w:t>modifying application procedures and application forms;</w:t>
      </w:r>
    </w:p>
    <w:p w14:paraId="43259221" w14:textId="77777777" w:rsidR="008239FF" w:rsidRPr="005022B5" w:rsidRDefault="008239FF" w:rsidP="00023B55">
      <w:pPr>
        <w:numPr>
          <w:ilvl w:val="0"/>
          <w:numId w:val="4"/>
        </w:numPr>
        <w:spacing w:after="0" w:line="240" w:lineRule="auto"/>
        <w:rPr>
          <w:rFonts w:ascii="Lato" w:hAnsi="Lato" w:cs="Arial"/>
          <w:sz w:val="20"/>
          <w:szCs w:val="20"/>
        </w:rPr>
      </w:pPr>
      <w:r w:rsidRPr="005022B5">
        <w:rPr>
          <w:rFonts w:ascii="Lato" w:hAnsi="Lato" w:cs="Arial"/>
          <w:sz w:val="20"/>
          <w:szCs w:val="20"/>
        </w:rPr>
        <w:t>providing a reader or interpreter.</w:t>
      </w:r>
    </w:p>
    <w:p w14:paraId="1363D0E3"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 xml:space="preserve">Wherever possible Ward and Scott Associates Limited will make reasonable adjustments to hallways, passages and doors </w:t>
      </w:r>
      <w:proofErr w:type="gramStart"/>
      <w:r w:rsidRPr="005022B5">
        <w:rPr>
          <w:rFonts w:ascii="Lato" w:hAnsi="Lato" w:cs="Arial"/>
          <w:sz w:val="20"/>
          <w:szCs w:val="20"/>
        </w:rPr>
        <w:t>in order to</w:t>
      </w:r>
      <w:proofErr w:type="gramEnd"/>
      <w:r w:rsidRPr="005022B5">
        <w:rPr>
          <w:rFonts w:ascii="Lato" w:hAnsi="Lato" w:cs="Arial"/>
          <w:sz w:val="20"/>
          <w:szCs w:val="20"/>
        </w:rPr>
        <w:t xml:space="preserve"> provide and improve means of access for disabled employees and workers. However, this may not always be feasible.</w:t>
      </w:r>
    </w:p>
    <w:p w14:paraId="77514038"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Ward and Scott Associates Limited will not discriminate against a disabled person:</w:t>
      </w:r>
    </w:p>
    <w:p w14:paraId="0319A78C" w14:textId="77777777" w:rsidR="008239FF" w:rsidRPr="005022B5" w:rsidRDefault="008239FF" w:rsidP="00023B55">
      <w:pPr>
        <w:numPr>
          <w:ilvl w:val="0"/>
          <w:numId w:val="5"/>
        </w:numPr>
        <w:spacing w:after="0" w:line="240" w:lineRule="auto"/>
        <w:rPr>
          <w:rFonts w:ascii="Lato" w:hAnsi="Lato" w:cs="Arial"/>
          <w:sz w:val="20"/>
          <w:szCs w:val="20"/>
        </w:rPr>
      </w:pPr>
      <w:r w:rsidRPr="005022B5">
        <w:rPr>
          <w:rFonts w:ascii="Lato" w:hAnsi="Lato" w:cs="Arial"/>
          <w:sz w:val="20"/>
          <w:szCs w:val="20"/>
        </w:rPr>
        <w:t>in the arrangements for selection;</w:t>
      </w:r>
    </w:p>
    <w:p w14:paraId="0A3D5B70" w14:textId="77777777" w:rsidR="008239FF" w:rsidRPr="005022B5" w:rsidRDefault="008239FF" w:rsidP="00023B55">
      <w:pPr>
        <w:numPr>
          <w:ilvl w:val="0"/>
          <w:numId w:val="5"/>
        </w:numPr>
        <w:spacing w:after="0" w:line="240" w:lineRule="auto"/>
        <w:rPr>
          <w:rFonts w:ascii="Lato" w:hAnsi="Lato" w:cs="Arial"/>
          <w:sz w:val="20"/>
          <w:szCs w:val="20"/>
        </w:rPr>
      </w:pPr>
      <w:r w:rsidRPr="005022B5">
        <w:rPr>
          <w:rFonts w:ascii="Lato" w:hAnsi="Lato" w:cs="Arial"/>
          <w:sz w:val="20"/>
          <w:szCs w:val="20"/>
        </w:rPr>
        <w:t>in the terms on which employment or engagement is offered;</w:t>
      </w:r>
    </w:p>
    <w:p w14:paraId="6EE9864B" w14:textId="77777777" w:rsidR="008239FF" w:rsidRPr="005022B5" w:rsidRDefault="008239FF" w:rsidP="00023B55">
      <w:pPr>
        <w:numPr>
          <w:ilvl w:val="0"/>
          <w:numId w:val="5"/>
        </w:numPr>
        <w:spacing w:after="0" w:line="240" w:lineRule="auto"/>
        <w:rPr>
          <w:rFonts w:ascii="Lato" w:hAnsi="Lato" w:cs="Arial"/>
          <w:sz w:val="20"/>
          <w:szCs w:val="20"/>
        </w:rPr>
      </w:pPr>
      <w:r w:rsidRPr="005022B5">
        <w:rPr>
          <w:rFonts w:ascii="Lato" w:hAnsi="Lato" w:cs="Arial"/>
          <w:sz w:val="20"/>
          <w:szCs w:val="20"/>
        </w:rPr>
        <w:t>by refusing to offer a job for reasons connected with disability;</w:t>
      </w:r>
    </w:p>
    <w:p w14:paraId="0FD1DB55" w14:textId="77777777" w:rsidR="008239FF" w:rsidRPr="005022B5" w:rsidRDefault="008239FF" w:rsidP="00023B55">
      <w:pPr>
        <w:numPr>
          <w:ilvl w:val="0"/>
          <w:numId w:val="5"/>
        </w:numPr>
        <w:spacing w:after="0" w:line="240" w:lineRule="auto"/>
        <w:rPr>
          <w:rFonts w:ascii="Lato" w:hAnsi="Lato" w:cs="Arial"/>
          <w:sz w:val="20"/>
          <w:szCs w:val="20"/>
        </w:rPr>
      </w:pPr>
      <w:r w:rsidRPr="005022B5">
        <w:rPr>
          <w:rFonts w:ascii="Lato" w:hAnsi="Lato" w:cs="Arial"/>
          <w:sz w:val="20"/>
          <w:szCs w:val="20"/>
        </w:rPr>
        <w:t>in opportunities for benefits or training;</w:t>
      </w:r>
    </w:p>
    <w:p w14:paraId="00D80C65" w14:textId="77777777" w:rsidR="008239FF" w:rsidRPr="005022B5" w:rsidRDefault="008239FF" w:rsidP="00023B55">
      <w:pPr>
        <w:numPr>
          <w:ilvl w:val="0"/>
          <w:numId w:val="5"/>
        </w:numPr>
        <w:spacing w:after="0" w:line="240" w:lineRule="auto"/>
        <w:rPr>
          <w:rFonts w:ascii="Lato" w:hAnsi="Lato" w:cs="Arial"/>
          <w:sz w:val="20"/>
          <w:szCs w:val="20"/>
        </w:rPr>
      </w:pPr>
      <w:r w:rsidRPr="005022B5">
        <w:rPr>
          <w:rFonts w:ascii="Lato" w:hAnsi="Lato" w:cs="Arial"/>
          <w:sz w:val="20"/>
          <w:szCs w:val="20"/>
        </w:rPr>
        <w:t>by subjecting the individual to any other detriment.</w:t>
      </w:r>
    </w:p>
    <w:p w14:paraId="7B604139"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Ward and Scott Associates Limited will make career opportunities available to all people with disabilities and every practical effort will be made to provide for the needs of staff, candidates and clients.</w:t>
      </w:r>
    </w:p>
    <w:p w14:paraId="2327F30C" w14:textId="77777777" w:rsidR="00023B55" w:rsidRPr="005022B5" w:rsidRDefault="00023B55" w:rsidP="00023B55">
      <w:pPr>
        <w:spacing w:after="0" w:line="240" w:lineRule="auto"/>
        <w:rPr>
          <w:rFonts w:ascii="Lato" w:hAnsi="Lato" w:cs="Arial"/>
          <w:sz w:val="20"/>
          <w:szCs w:val="20"/>
        </w:rPr>
      </w:pPr>
    </w:p>
    <w:p w14:paraId="36B3334D" w14:textId="77777777" w:rsidR="008239FF" w:rsidRPr="005022B5" w:rsidRDefault="008239FF" w:rsidP="00023B55">
      <w:pPr>
        <w:spacing w:after="0" w:line="240" w:lineRule="auto"/>
        <w:rPr>
          <w:rFonts w:ascii="Lato" w:hAnsi="Lato" w:cs="Arial"/>
          <w:b/>
          <w:bCs/>
          <w:sz w:val="20"/>
          <w:szCs w:val="20"/>
        </w:rPr>
      </w:pPr>
      <w:r w:rsidRPr="005022B5">
        <w:rPr>
          <w:rFonts w:ascii="Lato" w:hAnsi="Lato" w:cs="Arial"/>
          <w:b/>
          <w:bCs/>
          <w:sz w:val="20"/>
          <w:szCs w:val="20"/>
        </w:rPr>
        <w:t>AGE DISCRIMINATION</w:t>
      </w:r>
    </w:p>
    <w:p w14:paraId="7FB8E740" w14:textId="77777777" w:rsidR="00023B55" w:rsidRPr="005022B5" w:rsidRDefault="00023B55" w:rsidP="00023B55">
      <w:pPr>
        <w:spacing w:after="0" w:line="240" w:lineRule="auto"/>
        <w:rPr>
          <w:rFonts w:ascii="Lato" w:hAnsi="Lato" w:cs="Arial"/>
          <w:sz w:val="20"/>
          <w:szCs w:val="20"/>
        </w:rPr>
      </w:pPr>
    </w:p>
    <w:p w14:paraId="13C3DF47"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Ward and Scott Associates Limited will not discriminate directly or indirectly, harass or victimise any person on the grounds of their age. We will encourage clients not to include any age criteria in job specifications and will promote recruitment based on competence and skills.</w:t>
      </w:r>
    </w:p>
    <w:p w14:paraId="5C595326"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Ward and Scott Associates Limited is committed to recruiting and retaining employees whose skills, experience and attitude are suitable for the requirements of the various positions regardless of age. No age requirements will be stated in any job advertisements.</w:t>
      </w:r>
    </w:p>
    <w:p w14:paraId="69D7C706"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If Ward and Scott Associates Limited requests age as part of its recruitment process, such information will not be used as selection, training or promotion criteria and is only for personal data and equal opportunities monitoring.</w:t>
      </w:r>
    </w:p>
    <w:p w14:paraId="15FB1271"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Where a client requests age or date of birth, this must be under an occupational requirement or with objective justification confirmed in writing.</w:t>
      </w:r>
    </w:p>
    <w:p w14:paraId="70476FF4" w14:textId="77777777" w:rsidR="00023B55" w:rsidRPr="005022B5" w:rsidRDefault="00023B55" w:rsidP="00023B55">
      <w:pPr>
        <w:spacing w:after="0" w:line="240" w:lineRule="auto"/>
        <w:rPr>
          <w:rFonts w:ascii="Lato" w:hAnsi="Lato" w:cs="Arial"/>
          <w:sz w:val="20"/>
          <w:szCs w:val="20"/>
        </w:rPr>
      </w:pPr>
    </w:p>
    <w:p w14:paraId="5BFF23AF" w14:textId="77777777" w:rsidR="008239FF" w:rsidRPr="005022B5" w:rsidRDefault="008239FF" w:rsidP="00023B55">
      <w:pPr>
        <w:spacing w:after="0" w:line="240" w:lineRule="auto"/>
        <w:rPr>
          <w:rFonts w:ascii="Lato" w:hAnsi="Lato" w:cs="Arial"/>
          <w:sz w:val="20"/>
          <w:szCs w:val="20"/>
        </w:rPr>
      </w:pPr>
      <w:r w:rsidRPr="005022B5">
        <w:rPr>
          <w:rFonts w:ascii="Lato" w:hAnsi="Lato" w:cs="Arial"/>
          <w:b/>
          <w:bCs/>
          <w:sz w:val="20"/>
          <w:szCs w:val="20"/>
        </w:rPr>
        <w:t>PART-TIME WORKERS</w:t>
      </w:r>
    </w:p>
    <w:p w14:paraId="6608D7F9" w14:textId="5208896C"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This policy also covers the treatment of employees and workers who work on a part</w:t>
      </w:r>
      <w:r w:rsidRPr="005022B5">
        <w:rPr>
          <w:rFonts w:ascii="Lato" w:hAnsi="Lato" w:cs="Arial"/>
          <w:sz w:val="20"/>
          <w:szCs w:val="20"/>
        </w:rPr>
        <w:noBreakHyphen/>
        <w:t xml:space="preserve">time basis. Ward and Scott Associates Limited </w:t>
      </w:r>
      <w:proofErr w:type="gramStart"/>
      <w:r w:rsidRPr="005022B5">
        <w:rPr>
          <w:rFonts w:ascii="Lato" w:hAnsi="Lato" w:cs="Arial"/>
          <w:sz w:val="20"/>
          <w:szCs w:val="20"/>
        </w:rPr>
        <w:t>recognises</w:t>
      </w:r>
      <w:proofErr w:type="gramEnd"/>
      <w:r w:rsidRPr="005022B5">
        <w:rPr>
          <w:rFonts w:ascii="Lato" w:hAnsi="Lato" w:cs="Arial"/>
          <w:sz w:val="20"/>
          <w:szCs w:val="20"/>
        </w:rPr>
        <w:t xml:space="preserve"> that part</w:t>
      </w:r>
      <w:r w:rsidRPr="005022B5">
        <w:rPr>
          <w:rFonts w:ascii="Lato" w:hAnsi="Lato" w:cs="Arial"/>
          <w:sz w:val="20"/>
          <w:szCs w:val="20"/>
        </w:rPr>
        <w:noBreakHyphen/>
        <w:t>time employees must be treated on the same terms, with no detriment, as full</w:t>
      </w:r>
      <w:r w:rsidRPr="005022B5">
        <w:rPr>
          <w:rFonts w:ascii="Lato" w:hAnsi="Lato" w:cs="Arial"/>
          <w:sz w:val="20"/>
          <w:szCs w:val="20"/>
        </w:rPr>
        <w:noBreakHyphen/>
        <w:t>time employees (on a pro</w:t>
      </w:r>
      <w:r w:rsidRPr="005022B5">
        <w:rPr>
          <w:rFonts w:ascii="Lato" w:hAnsi="Lato" w:cs="Arial"/>
          <w:sz w:val="20"/>
          <w:szCs w:val="20"/>
        </w:rPr>
        <w:noBreakHyphen/>
        <w:t xml:space="preserve">rata basis). This includes pay, holiday, maternity leave, parental leave, domestic incident leave, pension access, training and redundancy. </w:t>
      </w:r>
    </w:p>
    <w:p w14:paraId="0CF6AE76" w14:textId="77777777" w:rsidR="00023B55" w:rsidRPr="005022B5" w:rsidRDefault="00023B55" w:rsidP="00023B55">
      <w:pPr>
        <w:spacing w:after="0" w:line="240" w:lineRule="auto"/>
        <w:rPr>
          <w:rFonts w:ascii="Lato" w:hAnsi="Lato" w:cs="Arial"/>
          <w:sz w:val="20"/>
          <w:szCs w:val="20"/>
        </w:rPr>
      </w:pPr>
    </w:p>
    <w:p w14:paraId="7C525EC5" w14:textId="77777777" w:rsidR="008239FF" w:rsidRPr="005022B5" w:rsidRDefault="008239FF" w:rsidP="00023B55">
      <w:pPr>
        <w:spacing w:after="0" w:line="240" w:lineRule="auto"/>
        <w:rPr>
          <w:rFonts w:ascii="Lato" w:hAnsi="Lato" w:cs="Arial"/>
          <w:b/>
          <w:bCs/>
          <w:sz w:val="20"/>
          <w:szCs w:val="20"/>
        </w:rPr>
      </w:pPr>
      <w:r w:rsidRPr="005022B5">
        <w:rPr>
          <w:rFonts w:ascii="Lato" w:hAnsi="Lato" w:cs="Arial"/>
          <w:b/>
          <w:bCs/>
          <w:sz w:val="20"/>
          <w:szCs w:val="20"/>
        </w:rPr>
        <w:t>GENDER REASSIGNMENT POLICY</w:t>
      </w:r>
    </w:p>
    <w:p w14:paraId="16E82D3A" w14:textId="77777777" w:rsidR="00023B55" w:rsidRPr="005022B5" w:rsidRDefault="00023B55" w:rsidP="00023B55">
      <w:pPr>
        <w:spacing w:after="0" w:line="240" w:lineRule="auto"/>
        <w:rPr>
          <w:rFonts w:ascii="Lato" w:hAnsi="Lato" w:cs="Arial"/>
          <w:sz w:val="20"/>
          <w:szCs w:val="20"/>
        </w:rPr>
      </w:pPr>
    </w:p>
    <w:p w14:paraId="7F0A9A4F"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 xml:space="preserve">Ward and Scott Associates Limited </w:t>
      </w:r>
      <w:proofErr w:type="gramStart"/>
      <w:r w:rsidRPr="005022B5">
        <w:rPr>
          <w:rFonts w:ascii="Lato" w:hAnsi="Lato" w:cs="Arial"/>
          <w:sz w:val="20"/>
          <w:szCs w:val="20"/>
        </w:rPr>
        <w:t>recognises</w:t>
      </w:r>
      <w:proofErr w:type="gramEnd"/>
      <w:r w:rsidRPr="005022B5">
        <w:rPr>
          <w:rFonts w:ascii="Lato" w:hAnsi="Lato" w:cs="Arial"/>
          <w:sz w:val="20"/>
          <w:szCs w:val="20"/>
        </w:rPr>
        <w:t xml:space="preserve"> that any employee or worker may wish to change their gender </w:t>
      </w:r>
      <w:proofErr w:type="gramStart"/>
      <w:r w:rsidRPr="005022B5">
        <w:rPr>
          <w:rFonts w:ascii="Lato" w:hAnsi="Lato" w:cs="Arial"/>
          <w:sz w:val="20"/>
          <w:szCs w:val="20"/>
        </w:rPr>
        <w:t>during the course of</w:t>
      </w:r>
      <w:proofErr w:type="gramEnd"/>
      <w:r w:rsidRPr="005022B5">
        <w:rPr>
          <w:rFonts w:ascii="Lato" w:hAnsi="Lato" w:cs="Arial"/>
          <w:sz w:val="20"/>
          <w:szCs w:val="20"/>
        </w:rPr>
        <w:t xml:space="preserve"> their employment.</w:t>
      </w:r>
    </w:p>
    <w:p w14:paraId="54CEB485"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Ward and Scott Associates Limited will support any employee or worker through the reassignment process and will make every effort to protect them from discrimination or harassment.</w:t>
      </w:r>
    </w:p>
    <w:p w14:paraId="18F03AD8" w14:textId="77777777"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Where a gender change imposes genuine operational difficulties, Ward and Scott Associates Limited will make every effort to reassign the employee or worker to an alternative role if desired.</w:t>
      </w:r>
    </w:p>
    <w:p w14:paraId="530E32DB" w14:textId="2C8CDBA3"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 xml:space="preserve">Any employee or worker suffering discrimination on the grounds of gender reassignment should use the Company’s grievance procedure. </w:t>
      </w:r>
    </w:p>
    <w:p w14:paraId="1B2BC887" w14:textId="77777777" w:rsidR="00023B55" w:rsidRPr="005022B5" w:rsidRDefault="00023B55" w:rsidP="00023B55">
      <w:pPr>
        <w:spacing w:after="0" w:line="240" w:lineRule="auto"/>
        <w:rPr>
          <w:rFonts w:ascii="Lato" w:hAnsi="Lato" w:cs="Arial"/>
          <w:sz w:val="20"/>
          <w:szCs w:val="20"/>
        </w:rPr>
      </w:pPr>
    </w:p>
    <w:p w14:paraId="62C1D2D9" w14:textId="77777777" w:rsidR="008239FF" w:rsidRPr="005022B5" w:rsidRDefault="008239FF" w:rsidP="00023B55">
      <w:pPr>
        <w:spacing w:after="0" w:line="240" w:lineRule="auto"/>
        <w:rPr>
          <w:rFonts w:ascii="Lato" w:hAnsi="Lato" w:cs="Arial"/>
          <w:b/>
          <w:bCs/>
          <w:sz w:val="20"/>
          <w:szCs w:val="20"/>
        </w:rPr>
      </w:pPr>
      <w:r w:rsidRPr="005022B5">
        <w:rPr>
          <w:rFonts w:ascii="Lato" w:hAnsi="Lato" w:cs="Arial"/>
          <w:b/>
          <w:bCs/>
          <w:sz w:val="20"/>
          <w:szCs w:val="20"/>
        </w:rPr>
        <w:t>RECRUITMENT OF EX</w:t>
      </w:r>
      <w:r w:rsidRPr="005022B5">
        <w:rPr>
          <w:rFonts w:ascii="Lato" w:hAnsi="Lato" w:cs="Arial"/>
          <w:b/>
          <w:bCs/>
          <w:sz w:val="20"/>
          <w:szCs w:val="20"/>
        </w:rPr>
        <w:noBreakHyphen/>
        <w:t>OFFENDERS</w:t>
      </w:r>
    </w:p>
    <w:p w14:paraId="3CEE55E6" w14:textId="77777777" w:rsidR="00023B55" w:rsidRPr="005022B5" w:rsidRDefault="00023B55" w:rsidP="00023B55">
      <w:pPr>
        <w:spacing w:after="0" w:line="240" w:lineRule="auto"/>
        <w:rPr>
          <w:rFonts w:ascii="Lato" w:hAnsi="Lato" w:cs="Arial"/>
          <w:sz w:val="20"/>
          <w:szCs w:val="20"/>
        </w:rPr>
      </w:pPr>
    </w:p>
    <w:p w14:paraId="40C2C020" w14:textId="32D2C92B"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lastRenderedPageBreak/>
        <w:t>Where Ward and Scott Associates Limited has registered with the Disclosure and Barring Service (DBS) and has authority to apply for criminal records checks, we will comply with the DBS Code of Practice, including having a policy on the recruitment of ex</w:t>
      </w:r>
      <w:r w:rsidRPr="005022B5">
        <w:rPr>
          <w:rFonts w:ascii="Lato" w:hAnsi="Lato" w:cs="Arial"/>
          <w:sz w:val="20"/>
          <w:szCs w:val="20"/>
        </w:rPr>
        <w:noBreakHyphen/>
        <w:t xml:space="preserve">offenders. </w:t>
      </w:r>
    </w:p>
    <w:p w14:paraId="3668330E" w14:textId="77777777" w:rsidR="00023B55" w:rsidRPr="005022B5" w:rsidRDefault="00023B55" w:rsidP="00023B55">
      <w:pPr>
        <w:spacing w:after="0" w:line="240" w:lineRule="auto"/>
        <w:rPr>
          <w:rFonts w:ascii="Lato" w:hAnsi="Lato" w:cs="Arial"/>
          <w:sz w:val="20"/>
          <w:szCs w:val="20"/>
        </w:rPr>
      </w:pPr>
    </w:p>
    <w:p w14:paraId="0A5157AE" w14:textId="567B80AB" w:rsidR="008239FF" w:rsidRPr="005022B5" w:rsidRDefault="008239FF" w:rsidP="00023B55">
      <w:pPr>
        <w:tabs>
          <w:tab w:val="left" w:pos="6825"/>
        </w:tabs>
        <w:spacing w:after="0" w:line="240" w:lineRule="auto"/>
        <w:rPr>
          <w:rFonts w:ascii="Lato" w:hAnsi="Lato" w:cs="Arial"/>
          <w:b/>
          <w:bCs/>
          <w:sz w:val="20"/>
          <w:szCs w:val="20"/>
        </w:rPr>
      </w:pPr>
      <w:r w:rsidRPr="005022B5">
        <w:rPr>
          <w:rFonts w:ascii="Lato" w:hAnsi="Lato" w:cs="Arial"/>
          <w:b/>
          <w:bCs/>
          <w:sz w:val="20"/>
          <w:szCs w:val="20"/>
        </w:rPr>
        <w:t>COMPLAINTS AND MONITORING PROCEDURES</w:t>
      </w:r>
      <w:r w:rsidR="00023B55" w:rsidRPr="005022B5">
        <w:rPr>
          <w:rFonts w:ascii="Lato" w:hAnsi="Lato" w:cs="Arial"/>
          <w:b/>
          <w:bCs/>
          <w:sz w:val="20"/>
          <w:szCs w:val="20"/>
        </w:rPr>
        <w:tab/>
      </w:r>
    </w:p>
    <w:p w14:paraId="435F7B1E" w14:textId="77777777" w:rsidR="00023B55" w:rsidRPr="005022B5" w:rsidRDefault="00023B55" w:rsidP="00023B55">
      <w:pPr>
        <w:tabs>
          <w:tab w:val="left" w:pos="6825"/>
        </w:tabs>
        <w:spacing w:after="0" w:line="240" w:lineRule="auto"/>
        <w:rPr>
          <w:rFonts w:ascii="Lato" w:hAnsi="Lato" w:cs="Arial"/>
          <w:sz w:val="20"/>
          <w:szCs w:val="20"/>
        </w:rPr>
      </w:pPr>
    </w:p>
    <w:p w14:paraId="6D9D6FB2" w14:textId="5B7C3F00" w:rsidR="008239FF" w:rsidRPr="005022B5" w:rsidRDefault="008239FF" w:rsidP="00023B55">
      <w:pPr>
        <w:spacing w:after="0" w:line="240" w:lineRule="auto"/>
        <w:rPr>
          <w:rFonts w:ascii="Lato" w:hAnsi="Lato" w:cs="Arial"/>
          <w:sz w:val="20"/>
          <w:szCs w:val="20"/>
        </w:rPr>
      </w:pPr>
      <w:r w:rsidRPr="005022B5">
        <w:rPr>
          <w:rFonts w:ascii="Lato" w:hAnsi="Lato" w:cs="Arial"/>
          <w:sz w:val="20"/>
          <w:szCs w:val="20"/>
        </w:rPr>
        <w:t xml:space="preserve">Ward and Scott Associates Limited </w:t>
      </w:r>
      <w:proofErr w:type="gramStart"/>
      <w:r w:rsidRPr="005022B5">
        <w:rPr>
          <w:rFonts w:ascii="Lato" w:hAnsi="Lato" w:cs="Arial"/>
          <w:sz w:val="20"/>
          <w:szCs w:val="20"/>
        </w:rPr>
        <w:t>has</w:t>
      </w:r>
      <w:proofErr w:type="gramEnd"/>
      <w:r w:rsidRPr="005022B5">
        <w:rPr>
          <w:rFonts w:ascii="Lato" w:hAnsi="Lato" w:cs="Arial"/>
          <w:sz w:val="20"/>
          <w:szCs w:val="20"/>
        </w:rPr>
        <w:t xml:space="preserve"> procedures for monitoring compliance with this policy and for dealing with complaints of discrimination. These are available from [name(s)] and will be provided immediately upon request. Any discrimination complaint will be investigated fully. </w:t>
      </w:r>
    </w:p>
    <w:p w14:paraId="272FBD4A" w14:textId="77777777" w:rsidR="006373F0" w:rsidRPr="005022B5" w:rsidRDefault="006373F0">
      <w:pPr>
        <w:rPr>
          <w:rFonts w:ascii="Lato" w:hAnsi="Lato"/>
          <w:sz w:val="20"/>
          <w:szCs w:val="20"/>
        </w:rPr>
      </w:pPr>
    </w:p>
    <w:sectPr w:rsidR="006373F0" w:rsidRPr="005022B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DEB94" w14:textId="77777777" w:rsidR="00FD60B8" w:rsidRDefault="00FD60B8" w:rsidP="008239FF">
      <w:pPr>
        <w:spacing w:after="0" w:line="240" w:lineRule="auto"/>
      </w:pPr>
      <w:r>
        <w:separator/>
      </w:r>
    </w:p>
  </w:endnote>
  <w:endnote w:type="continuationSeparator" w:id="0">
    <w:p w14:paraId="7CECD04B" w14:textId="77777777" w:rsidR="00FD60B8" w:rsidRDefault="00FD60B8" w:rsidP="00823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Lato">
    <w:charset w:val="00"/>
    <w:family w:val="swiss"/>
    <w:pitch w:val="variable"/>
    <w:sig w:usb0="E10002FF" w:usb1="5000ECFF" w:usb2="00000021"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42A4D7" w14:textId="77777777" w:rsidR="00FD60B8" w:rsidRDefault="00FD60B8" w:rsidP="008239FF">
      <w:pPr>
        <w:spacing w:after="0" w:line="240" w:lineRule="auto"/>
      </w:pPr>
      <w:r>
        <w:separator/>
      </w:r>
    </w:p>
  </w:footnote>
  <w:footnote w:type="continuationSeparator" w:id="0">
    <w:p w14:paraId="63F643AF" w14:textId="77777777" w:rsidR="00FD60B8" w:rsidRDefault="00FD60B8" w:rsidP="00823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C02B06"/>
    <w:multiLevelType w:val="multilevel"/>
    <w:tmpl w:val="9B127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8D87F8D"/>
    <w:multiLevelType w:val="multilevel"/>
    <w:tmpl w:val="10E69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CDD0B82"/>
    <w:multiLevelType w:val="multilevel"/>
    <w:tmpl w:val="63E81F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784D09"/>
    <w:multiLevelType w:val="multilevel"/>
    <w:tmpl w:val="27C283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FBF3345"/>
    <w:multiLevelType w:val="multilevel"/>
    <w:tmpl w:val="3B8862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22709452">
    <w:abstractNumId w:val="4"/>
  </w:num>
  <w:num w:numId="2" w16cid:durableId="360666182">
    <w:abstractNumId w:val="0"/>
  </w:num>
  <w:num w:numId="3" w16cid:durableId="1373067968">
    <w:abstractNumId w:val="2"/>
  </w:num>
  <w:num w:numId="4" w16cid:durableId="1794908908">
    <w:abstractNumId w:val="1"/>
  </w:num>
  <w:num w:numId="5" w16cid:durableId="15697286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9FF"/>
    <w:rsid w:val="00023B55"/>
    <w:rsid w:val="00113A05"/>
    <w:rsid w:val="001C2B50"/>
    <w:rsid w:val="00214C1E"/>
    <w:rsid w:val="00221B35"/>
    <w:rsid w:val="004352D0"/>
    <w:rsid w:val="00440180"/>
    <w:rsid w:val="004E60F9"/>
    <w:rsid w:val="005022B5"/>
    <w:rsid w:val="005413F5"/>
    <w:rsid w:val="005D0BCC"/>
    <w:rsid w:val="006373F0"/>
    <w:rsid w:val="006D77F3"/>
    <w:rsid w:val="008172F0"/>
    <w:rsid w:val="008239FF"/>
    <w:rsid w:val="008C2E23"/>
    <w:rsid w:val="00A32BD3"/>
    <w:rsid w:val="00B755C0"/>
    <w:rsid w:val="00E130BF"/>
    <w:rsid w:val="00F177F9"/>
    <w:rsid w:val="00FD60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7580B6"/>
  <w15:chartTrackingRefBased/>
  <w15:docId w15:val="{10CDD4E8-1404-4BA6-A539-0DD5372E2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39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39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39F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39F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39F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39F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39F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39F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39F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39F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39F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39F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39F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39F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39F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39F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39F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39FF"/>
    <w:rPr>
      <w:rFonts w:eastAsiaTheme="majorEastAsia" w:cstheme="majorBidi"/>
      <w:color w:val="272727" w:themeColor="text1" w:themeTint="D8"/>
    </w:rPr>
  </w:style>
  <w:style w:type="paragraph" w:styleId="Title">
    <w:name w:val="Title"/>
    <w:basedOn w:val="Normal"/>
    <w:next w:val="Normal"/>
    <w:link w:val="TitleChar"/>
    <w:uiPriority w:val="10"/>
    <w:qFormat/>
    <w:rsid w:val="008239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39F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39F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39F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39FF"/>
    <w:pPr>
      <w:spacing w:before="160"/>
      <w:jc w:val="center"/>
    </w:pPr>
    <w:rPr>
      <w:i/>
      <w:iCs/>
      <w:color w:val="404040" w:themeColor="text1" w:themeTint="BF"/>
    </w:rPr>
  </w:style>
  <w:style w:type="character" w:customStyle="1" w:styleId="QuoteChar">
    <w:name w:val="Quote Char"/>
    <w:basedOn w:val="DefaultParagraphFont"/>
    <w:link w:val="Quote"/>
    <w:uiPriority w:val="29"/>
    <w:rsid w:val="008239FF"/>
    <w:rPr>
      <w:i/>
      <w:iCs/>
      <w:color w:val="404040" w:themeColor="text1" w:themeTint="BF"/>
    </w:rPr>
  </w:style>
  <w:style w:type="paragraph" w:styleId="ListParagraph">
    <w:name w:val="List Paragraph"/>
    <w:basedOn w:val="Normal"/>
    <w:uiPriority w:val="34"/>
    <w:qFormat/>
    <w:rsid w:val="008239FF"/>
    <w:pPr>
      <w:ind w:left="720"/>
      <w:contextualSpacing/>
    </w:pPr>
  </w:style>
  <w:style w:type="character" w:styleId="IntenseEmphasis">
    <w:name w:val="Intense Emphasis"/>
    <w:basedOn w:val="DefaultParagraphFont"/>
    <w:uiPriority w:val="21"/>
    <w:qFormat/>
    <w:rsid w:val="008239FF"/>
    <w:rPr>
      <w:i/>
      <w:iCs/>
      <w:color w:val="0F4761" w:themeColor="accent1" w:themeShade="BF"/>
    </w:rPr>
  </w:style>
  <w:style w:type="paragraph" w:styleId="IntenseQuote">
    <w:name w:val="Intense Quote"/>
    <w:basedOn w:val="Normal"/>
    <w:next w:val="Normal"/>
    <w:link w:val="IntenseQuoteChar"/>
    <w:uiPriority w:val="30"/>
    <w:qFormat/>
    <w:rsid w:val="008239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39FF"/>
    <w:rPr>
      <w:i/>
      <w:iCs/>
      <w:color w:val="0F4761" w:themeColor="accent1" w:themeShade="BF"/>
    </w:rPr>
  </w:style>
  <w:style w:type="character" w:styleId="IntenseReference">
    <w:name w:val="Intense Reference"/>
    <w:basedOn w:val="DefaultParagraphFont"/>
    <w:uiPriority w:val="32"/>
    <w:qFormat/>
    <w:rsid w:val="008239FF"/>
    <w:rPr>
      <w:b/>
      <w:bCs/>
      <w:smallCaps/>
      <w:color w:val="0F4761" w:themeColor="accent1" w:themeShade="BF"/>
      <w:spacing w:val="5"/>
    </w:rPr>
  </w:style>
  <w:style w:type="paragraph" w:styleId="Header">
    <w:name w:val="header"/>
    <w:basedOn w:val="Normal"/>
    <w:link w:val="HeaderChar"/>
    <w:uiPriority w:val="99"/>
    <w:unhideWhenUsed/>
    <w:rsid w:val="008239FF"/>
    <w:pPr>
      <w:tabs>
        <w:tab w:val="center" w:pos="4513"/>
        <w:tab w:val="right" w:pos="9026"/>
      </w:tabs>
      <w:spacing w:after="0" w:line="240" w:lineRule="auto"/>
    </w:pPr>
  </w:style>
  <w:style w:type="character" w:customStyle="1" w:styleId="HeaderChar">
    <w:name w:val="Header Char"/>
    <w:basedOn w:val="DefaultParagraphFont"/>
    <w:link w:val="Header"/>
    <w:uiPriority w:val="99"/>
    <w:rsid w:val="008239FF"/>
  </w:style>
  <w:style w:type="paragraph" w:styleId="Footer">
    <w:name w:val="footer"/>
    <w:basedOn w:val="Normal"/>
    <w:link w:val="FooterChar"/>
    <w:uiPriority w:val="99"/>
    <w:unhideWhenUsed/>
    <w:rsid w:val="008239FF"/>
    <w:pPr>
      <w:tabs>
        <w:tab w:val="center" w:pos="4513"/>
        <w:tab w:val="right" w:pos="9026"/>
      </w:tabs>
      <w:spacing w:after="0" w:line="240" w:lineRule="auto"/>
    </w:pPr>
  </w:style>
  <w:style w:type="character" w:customStyle="1" w:styleId="FooterChar">
    <w:name w:val="Footer Char"/>
    <w:basedOn w:val="DefaultParagraphFont"/>
    <w:link w:val="Footer"/>
    <w:uiPriority w:val="99"/>
    <w:rsid w:val="008239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26</TotalTime>
  <Pages>4</Pages>
  <Words>1749</Words>
  <Characters>9971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Tia Robinson</dc:creator>
  <cp:keywords/>
  <dc:description/>
  <cp:lastModifiedBy>Tia Robinson</cp:lastModifiedBy>
  <cp:revision>6</cp:revision>
  <dcterms:created xsi:type="dcterms:W3CDTF">2026-02-05T10:23:00Z</dcterms:created>
  <dcterms:modified xsi:type="dcterms:W3CDTF">2026-06-22T12:46:00Z</dcterms:modified>
</cp:coreProperties>
</file>